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4553" w:rsidRPr="00BE4553" w:rsidRDefault="00BE4553" w:rsidP="00460597">
      <w:pPr>
        <w:spacing w:after="0" w:line="360" w:lineRule="auto"/>
        <w:rPr>
          <w:rFonts w:asciiTheme="minorHAnsi" w:hAnsiTheme="minorHAnsi" w:cstheme="minorHAnsi"/>
          <w:sz w:val="22"/>
          <w:szCs w:val="22"/>
        </w:rPr>
      </w:pPr>
      <w:r w:rsidRPr="00BE4553">
        <w:rPr>
          <w:rFonts w:asciiTheme="minorHAnsi" w:hAnsiTheme="minorHAnsi" w:cstheme="minorHAnsi"/>
          <w:sz w:val="22"/>
          <w:szCs w:val="22"/>
        </w:rPr>
        <w:t>Nuova parrocchia “I due discepoli di Emmaus”</w:t>
      </w:r>
      <w:r w:rsidR="00460597">
        <w:rPr>
          <w:rFonts w:asciiTheme="minorHAnsi" w:hAnsiTheme="minorHAnsi" w:cstheme="minorHAnsi"/>
          <w:sz w:val="22"/>
          <w:szCs w:val="22"/>
        </w:rPr>
        <w:t xml:space="preserve">- </w:t>
      </w:r>
      <w:r w:rsidRPr="00BE4553">
        <w:rPr>
          <w:rFonts w:asciiTheme="minorHAnsi" w:hAnsiTheme="minorHAnsi" w:cstheme="minorHAnsi"/>
          <w:sz w:val="22"/>
          <w:szCs w:val="22"/>
        </w:rPr>
        <w:t>Comunità riunite di S.Giovanni Battista e Corpus Domini</w:t>
      </w:r>
    </w:p>
    <w:p w:rsidR="00BE4553" w:rsidRPr="00BE4553" w:rsidRDefault="00BE4553" w:rsidP="00460597">
      <w:pPr>
        <w:spacing w:line="360" w:lineRule="auto"/>
        <w:rPr>
          <w:rFonts w:asciiTheme="minorHAnsi" w:hAnsiTheme="minorHAnsi" w:cstheme="minorHAnsi"/>
          <w:b/>
          <w:bCs/>
          <w:sz w:val="22"/>
          <w:szCs w:val="22"/>
        </w:rPr>
      </w:pPr>
      <w:r w:rsidRPr="00BE4553">
        <w:rPr>
          <w:rFonts w:asciiTheme="minorHAnsi" w:hAnsiTheme="minorHAnsi" w:cstheme="minorHAnsi"/>
          <w:b/>
          <w:bCs/>
          <w:sz w:val="22"/>
          <w:szCs w:val="22"/>
        </w:rPr>
        <w:t xml:space="preserve">CONTRIBUTO SINODALE DA PARTE DEL </w:t>
      </w:r>
      <w:r w:rsidR="00460597">
        <w:rPr>
          <w:rFonts w:asciiTheme="minorHAnsi" w:hAnsiTheme="minorHAnsi" w:cstheme="minorHAnsi"/>
          <w:b/>
          <w:bCs/>
          <w:sz w:val="22"/>
          <w:szCs w:val="22"/>
        </w:rPr>
        <w:t>GRUPPO ANIMATORI DEI GENITORI “CHIOCCIA”</w:t>
      </w:r>
    </w:p>
    <w:p w:rsidR="00D23917" w:rsidRPr="00BE4553" w:rsidRDefault="00D23917" w:rsidP="00D23917">
      <w:pPr>
        <w:widowControl w:val="0"/>
        <w:spacing w:after="0"/>
        <w:jc w:val="both"/>
        <w:rPr>
          <w:rFonts w:asciiTheme="minorHAnsi" w:hAnsiTheme="minorHAnsi" w:cstheme="minorHAnsi"/>
          <w:color w:val="222222"/>
          <w:sz w:val="22"/>
          <w:szCs w:val="22"/>
          <w14:ligatures w14:val="none"/>
        </w:rPr>
      </w:pPr>
      <w:r w:rsidRPr="00BE4553">
        <w:rPr>
          <w:rFonts w:asciiTheme="minorHAnsi" w:hAnsiTheme="minorHAnsi" w:cstheme="minorHAnsi"/>
          <w:color w:val="222222"/>
          <w:sz w:val="22"/>
          <w:szCs w:val="22"/>
          <w14:ligatures w14:val="none"/>
        </w:rPr>
        <w:t>Il percorso sinodale nella nostra parrocchia procede con appuntamenti organizzati ad hoc, ma anche cercando di cogliere le opportunità e i momenti di confronto che le varie attività pastorali già naturalmente offrono.</w:t>
      </w:r>
    </w:p>
    <w:p w:rsidR="00D23917" w:rsidRPr="00BE4553" w:rsidRDefault="00D23917" w:rsidP="00D23917">
      <w:pPr>
        <w:widowControl w:val="0"/>
        <w:spacing w:after="0"/>
        <w:jc w:val="both"/>
        <w:rPr>
          <w:rFonts w:asciiTheme="minorHAnsi" w:hAnsiTheme="minorHAnsi" w:cstheme="minorHAnsi"/>
          <w:color w:val="222222"/>
          <w:sz w:val="22"/>
          <w:szCs w:val="22"/>
          <w14:ligatures w14:val="none"/>
        </w:rPr>
      </w:pPr>
      <w:r w:rsidRPr="00BE4553">
        <w:rPr>
          <w:rFonts w:asciiTheme="minorHAnsi" w:hAnsiTheme="minorHAnsi" w:cstheme="minorHAnsi"/>
          <w:color w:val="222222"/>
          <w:sz w:val="22"/>
          <w:szCs w:val="22"/>
          <w14:ligatures w14:val="none"/>
        </w:rPr>
        <w:t xml:space="preserve">Il </w:t>
      </w:r>
      <w:r w:rsidRPr="00BE4553">
        <w:rPr>
          <w:rFonts w:asciiTheme="minorHAnsi" w:hAnsiTheme="minorHAnsi" w:cstheme="minorHAnsi"/>
          <w:i/>
          <w:iCs/>
          <w:color w:val="222222"/>
          <w:sz w:val="22"/>
          <w:szCs w:val="22"/>
          <w14:ligatures w14:val="none"/>
        </w:rPr>
        <w:t>Vademecum</w:t>
      </w:r>
      <w:r w:rsidRPr="00BE4553">
        <w:rPr>
          <w:rFonts w:asciiTheme="minorHAnsi" w:hAnsiTheme="minorHAnsi" w:cstheme="minorHAnsi"/>
          <w:color w:val="222222"/>
          <w:sz w:val="22"/>
          <w:szCs w:val="22"/>
          <w14:ligatures w14:val="none"/>
        </w:rPr>
        <w:t xml:space="preserve"> del Sinodo ci ricorda che «se l’ascolto è il metodo del processo sinodale e il discernimento è il suo scopo, allora la partecipazione è il suo percorso», e ci invita a vivere esperienze di confronto e di ascolto in una dimensione informale e semplice.</w:t>
      </w:r>
    </w:p>
    <w:p w:rsidR="00D23917" w:rsidRPr="00BE4553" w:rsidRDefault="00D23917" w:rsidP="00D23917">
      <w:pPr>
        <w:widowControl w:val="0"/>
        <w:spacing w:after="0"/>
        <w:jc w:val="both"/>
        <w:rPr>
          <w:rFonts w:asciiTheme="minorHAnsi" w:hAnsiTheme="minorHAnsi" w:cstheme="minorHAnsi"/>
          <w:color w:val="222222"/>
          <w:sz w:val="22"/>
          <w:szCs w:val="22"/>
          <w14:ligatures w14:val="none"/>
        </w:rPr>
      </w:pPr>
      <w:r w:rsidRPr="00BE4553">
        <w:rPr>
          <w:rFonts w:asciiTheme="minorHAnsi" w:hAnsiTheme="minorHAnsi" w:cstheme="minorHAnsi"/>
          <w:color w:val="222222"/>
          <w:sz w:val="22"/>
          <w:szCs w:val="22"/>
          <w14:ligatures w14:val="none"/>
        </w:rPr>
        <w:t>In questo stile nei mesi scorsi sono stati organizzati con i genitori dei bambini impegnati nel percorso della Chioccia alcuni momenti di scambio e di ascolto, articolati su due incontri.</w:t>
      </w:r>
    </w:p>
    <w:p w:rsidR="00D23917" w:rsidRPr="00BE4553" w:rsidRDefault="00D23917" w:rsidP="00D23917">
      <w:pPr>
        <w:widowControl w:val="0"/>
        <w:spacing w:after="0"/>
        <w:jc w:val="both"/>
        <w:rPr>
          <w:rFonts w:asciiTheme="minorHAnsi" w:hAnsiTheme="minorHAnsi" w:cstheme="minorHAnsi"/>
          <w:color w:val="222222"/>
          <w:sz w:val="22"/>
          <w:szCs w:val="22"/>
          <w14:ligatures w14:val="none"/>
        </w:rPr>
      </w:pPr>
      <w:r w:rsidRPr="00BE4553">
        <w:rPr>
          <w:rFonts w:asciiTheme="minorHAnsi" w:hAnsiTheme="minorHAnsi" w:cstheme="minorHAnsi"/>
          <w:color w:val="222222"/>
          <w:sz w:val="22"/>
          <w:szCs w:val="22"/>
          <w14:ligatures w14:val="none"/>
        </w:rPr>
        <w:t>Nel primo incontro siamo stati invitati a prendere la parola guardando la Chiesa sia nella sua dimensione “istituzionale” sia nella sua dimensione più vicina (la parrocchia), cercando di coglierne, nell’oggi, i pregi e i difetti.</w:t>
      </w:r>
    </w:p>
    <w:p w:rsidR="00D23917" w:rsidRPr="00BE4553" w:rsidRDefault="00D23917" w:rsidP="00D23917">
      <w:pPr>
        <w:widowControl w:val="0"/>
        <w:spacing w:after="0"/>
        <w:jc w:val="both"/>
        <w:rPr>
          <w:rFonts w:asciiTheme="minorHAnsi" w:hAnsiTheme="minorHAnsi" w:cstheme="minorHAnsi"/>
          <w:color w:val="222222"/>
          <w:sz w:val="22"/>
          <w:szCs w:val="22"/>
          <w14:ligatures w14:val="none"/>
        </w:rPr>
      </w:pPr>
      <w:r w:rsidRPr="00BE4553">
        <w:rPr>
          <w:rFonts w:asciiTheme="minorHAnsi" w:hAnsiTheme="minorHAnsi" w:cstheme="minorHAnsi"/>
          <w:color w:val="222222"/>
          <w:sz w:val="22"/>
          <w:szCs w:val="22"/>
          <w14:ligatures w14:val="none"/>
        </w:rPr>
        <w:t>Durante il secondo incontro siamo accompagnati in una riflessione più personale, domandandoci: «Cosa io ho sperimentato, di cosa ho potuto godere nella esperienza di Chiesa che ho vissuto?”. Per farlo siamo partiti dalla lettura di un brano del Vangelo di Luca sulla “missione dei 72” (Luca 10,1-20): un testo fondante per la Chiesa, un vero e proprio “manifesto” in cui vengono indicati, con una serie di imperativi, quelli che devono essere i comportamenti dei discepoli e della Chiesa tutta.</w:t>
      </w:r>
    </w:p>
    <w:p w:rsidR="00D23917" w:rsidRPr="00BE4553" w:rsidRDefault="00D23917" w:rsidP="00D23917">
      <w:pPr>
        <w:widowControl w:val="0"/>
        <w:spacing w:after="0"/>
        <w:jc w:val="both"/>
        <w:rPr>
          <w:rFonts w:asciiTheme="minorHAnsi" w:hAnsiTheme="minorHAnsi" w:cstheme="minorHAnsi"/>
          <w:color w:val="222222"/>
          <w:sz w:val="22"/>
          <w:szCs w:val="22"/>
          <w14:ligatures w14:val="none"/>
        </w:rPr>
      </w:pPr>
      <w:r w:rsidRPr="00BE4553">
        <w:rPr>
          <w:rFonts w:asciiTheme="minorHAnsi" w:hAnsiTheme="minorHAnsi" w:cstheme="minorHAnsi"/>
          <w:color w:val="222222"/>
          <w:sz w:val="22"/>
          <w:szCs w:val="22"/>
          <w14:ligatures w14:val="none"/>
        </w:rPr>
        <w:t>Sono stati due incontri semplici ma al tempo stesso ricchi e partecipati, in cui è emerso con forza e gratitudine quanto nell’esperienza di ciascuno il percorso nella Chiesa sia stato importante, e come nonostante tutto la Chiesa conservi ancora un ruolo prezioso anche oltre al percorso di fede, senza nasconderci però i tanti limiti e incoerenze che ancora devono essere superate.</w:t>
      </w:r>
    </w:p>
    <w:p w:rsidR="00D23917" w:rsidRPr="00BE4553" w:rsidRDefault="00D23917" w:rsidP="00D23917">
      <w:pPr>
        <w:jc w:val="right"/>
        <w:rPr>
          <w:rFonts w:asciiTheme="minorHAnsi" w:hAnsiTheme="minorHAnsi" w:cstheme="minorHAnsi"/>
          <w:sz w:val="22"/>
          <w:szCs w:val="22"/>
          <w14:ligatures w14:val="none"/>
        </w:rPr>
      </w:pPr>
      <w:r w:rsidRPr="00BE4553">
        <w:rPr>
          <w:rFonts w:asciiTheme="minorHAnsi" w:hAnsiTheme="minorHAnsi" w:cstheme="minorHAnsi"/>
          <w:i/>
          <w:iCs/>
          <w:color w:val="222222"/>
          <w:sz w:val="22"/>
          <w:szCs w:val="22"/>
          <w14:ligatures w14:val="none"/>
        </w:rPr>
        <w:t>animatori gruppo genitori “Chioccia”</w:t>
      </w:r>
    </w:p>
    <w:p w:rsidR="00D23917" w:rsidRPr="00BE4553" w:rsidRDefault="00D23917" w:rsidP="00D23917">
      <w:pPr>
        <w:widowControl w:val="0"/>
        <w:rPr>
          <w:rFonts w:asciiTheme="minorHAnsi" w:hAnsiTheme="minorHAnsi" w:cstheme="minorHAnsi"/>
          <w:sz w:val="22"/>
          <w:szCs w:val="22"/>
          <w14:ligatures w14:val="none"/>
        </w:rPr>
      </w:pPr>
      <w:bookmarkStart w:id="0" w:name="_GoBack"/>
      <w:bookmarkEnd w:id="0"/>
    </w:p>
    <w:p w:rsidR="00AC6D58" w:rsidRDefault="00AC6D58" w:rsidP="00BE4553">
      <w:pPr>
        <w:rPr>
          <w:rFonts w:asciiTheme="minorHAnsi" w:hAnsiTheme="minorHAnsi" w:cstheme="minorHAnsi"/>
          <w:sz w:val="22"/>
          <w:szCs w:val="22"/>
        </w:rPr>
      </w:pPr>
      <w:r>
        <w:rPr>
          <w:rFonts w:asciiTheme="minorHAnsi" w:hAnsiTheme="minorHAnsi" w:cstheme="minorHAnsi"/>
          <w:sz w:val="22"/>
          <w:szCs w:val="22"/>
        </w:rPr>
        <w:t>APPUNTI DI UN INCONTRO A CUI HANNO PARTECIPATO I GENITORI:</w:t>
      </w:r>
    </w:p>
    <w:p w:rsidR="00BE4553" w:rsidRPr="00BE4553" w:rsidRDefault="00BE4553" w:rsidP="00BE4553">
      <w:pPr>
        <w:rPr>
          <w:rFonts w:asciiTheme="minorHAnsi" w:hAnsiTheme="minorHAnsi" w:cstheme="minorHAnsi"/>
          <w:sz w:val="22"/>
          <w:szCs w:val="22"/>
        </w:rPr>
      </w:pPr>
      <w:r w:rsidRPr="00BE4553">
        <w:rPr>
          <w:rFonts w:asciiTheme="minorHAnsi" w:hAnsiTheme="minorHAnsi" w:cstheme="minorHAnsi"/>
          <w:sz w:val="22"/>
          <w:szCs w:val="22"/>
        </w:rPr>
        <w:t>Emerge uno scollamento netto tra l’esperienza della Chiesa locale (la parrocchia presente nel territorio) e la Chiesa come istituzione (Vaticano).</w:t>
      </w:r>
    </w:p>
    <w:p w:rsidR="00BE4553" w:rsidRPr="00BE4553" w:rsidRDefault="00BE4553" w:rsidP="00BE4553">
      <w:pPr>
        <w:rPr>
          <w:rFonts w:asciiTheme="minorHAnsi" w:hAnsiTheme="minorHAnsi" w:cstheme="minorHAnsi"/>
          <w:sz w:val="22"/>
          <w:szCs w:val="22"/>
        </w:rPr>
      </w:pPr>
      <w:r w:rsidRPr="00BE4553">
        <w:rPr>
          <w:rFonts w:asciiTheme="minorHAnsi" w:hAnsiTheme="minorHAnsi" w:cstheme="minorHAnsi"/>
          <w:sz w:val="22"/>
          <w:szCs w:val="22"/>
        </w:rPr>
        <w:t>In estrema sintesi i punti emersi con maggiore frequenza possono essere riassunti così</w:t>
      </w:r>
    </w:p>
    <w:p w:rsidR="00BE4553" w:rsidRPr="00BE4553" w:rsidRDefault="00BE4553" w:rsidP="00BE4553">
      <w:pPr>
        <w:rPr>
          <w:rFonts w:asciiTheme="minorHAnsi" w:hAnsiTheme="minorHAnsi" w:cstheme="minorHAnsi"/>
          <w:sz w:val="22"/>
          <w:szCs w:val="22"/>
        </w:rPr>
      </w:pPr>
    </w:p>
    <w:p w:rsidR="00BE4553" w:rsidRPr="00BE4553" w:rsidRDefault="00BE4553" w:rsidP="00BE4553">
      <w:pPr>
        <w:rPr>
          <w:rFonts w:asciiTheme="minorHAnsi" w:hAnsiTheme="minorHAnsi" w:cstheme="minorHAnsi"/>
          <w:b/>
          <w:sz w:val="22"/>
          <w:szCs w:val="22"/>
        </w:rPr>
      </w:pPr>
      <w:r w:rsidRPr="00BE4553">
        <w:rPr>
          <w:rFonts w:asciiTheme="minorHAnsi" w:hAnsiTheme="minorHAnsi" w:cstheme="minorHAnsi"/>
          <w:b/>
          <w:sz w:val="22"/>
          <w:szCs w:val="22"/>
        </w:rPr>
        <w:t>Positivi</w:t>
      </w:r>
    </w:p>
    <w:p w:rsidR="00BE4553" w:rsidRPr="00BE4553" w:rsidRDefault="00BE4553" w:rsidP="00BE4553">
      <w:pPr>
        <w:rPr>
          <w:rFonts w:asciiTheme="minorHAnsi" w:hAnsiTheme="minorHAnsi" w:cstheme="minorHAnsi"/>
          <w:sz w:val="22"/>
          <w:szCs w:val="22"/>
        </w:rPr>
      </w:pPr>
      <w:r w:rsidRPr="00BE4553">
        <w:rPr>
          <w:rFonts w:asciiTheme="minorHAnsi" w:hAnsiTheme="minorHAnsi" w:cstheme="minorHAnsi"/>
          <w:sz w:val="22"/>
          <w:szCs w:val="22"/>
        </w:rPr>
        <w:t>• Punto di riferimento spirituale e materiale nel territorio, in grado di accogliere ed aiutare chi ha bisogno grazie a tante persone che generosamente e gratuitamente offrono la loro disponibilità, pur essendoci grandi differenze fra le varie parrocchie e realta' locali</w:t>
      </w:r>
    </w:p>
    <w:p w:rsidR="00BE4553" w:rsidRPr="00BE4553" w:rsidRDefault="00BE4553" w:rsidP="00BE4553">
      <w:pPr>
        <w:rPr>
          <w:rFonts w:asciiTheme="minorHAnsi" w:hAnsiTheme="minorHAnsi" w:cstheme="minorHAnsi"/>
          <w:sz w:val="22"/>
          <w:szCs w:val="22"/>
        </w:rPr>
      </w:pPr>
      <w:r w:rsidRPr="00BE4553">
        <w:rPr>
          <w:rFonts w:asciiTheme="minorHAnsi" w:hAnsiTheme="minorHAnsi" w:cstheme="minorHAnsi"/>
          <w:sz w:val="22"/>
          <w:szCs w:val="22"/>
        </w:rPr>
        <w:t>• Attraverso tutte le sue Associazioni offre percorsi di crescita per le persone ed in particolare per i più piccoli/giovani.</w:t>
      </w:r>
    </w:p>
    <w:p w:rsidR="00BE4553" w:rsidRPr="00BE4553" w:rsidRDefault="00BE4553" w:rsidP="00BE4553">
      <w:pPr>
        <w:rPr>
          <w:rFonts w:asciiTheme="minorHAnsi" w:hAnsiTheme="minorHAnsi" w:cstheme="minorHAnsi"/>
          <w:sz w:val="22"/>
          <w:szCs w:val="22"/>
        </w:rPr>
      </w:pPr>
      <w:r w:rsidRPr="00BE4553">
        <w:rPr>
          <w:rFonts w:asciiTheme="minorHAnsi" w:hAnsiTheme="minorHAnsi" w:cstheme="minorHAnsi"/>
          <w:sz w:val="22"/>
          <w:szCs w:val="22"/>
        </w:rPr>
        <w:t>• In cammino nel tentativo di stare al passo con i tempi, di affrontare le sue difficoltà e limiti, capace di  prendere posizioni anche difficili esprimendo il suo pensiero nella societa'</w:t>
      </w:r>
    </w:p>
    <w:p w:rsidR="00BE4553" w:rsidRPr="00BE4553" w:rsidRDefault="00BE4553" w:rsidP="00BE4553">
      <w:pPr>
        <w:rPr>
          <w:rFonts w:asciiTheme="minorHAnsi" w:hAnsiTheme="minorHAnsi" w:cstheme="minorHAnsi"/>
          <w:sz w:val="22"/>
          <w:szCs w:val="22"/>
        </w:rPr>
      </w:pPr>
    </w:p>
    <w:p w:rsidR="00BE4553" w:rsidRPr="00BE4553" w:rsidRDefault="00BE4553" w:rsidP="00BE4553">
      <w:pPr>
        <w:rPr>
          <w:rFonts w:asciiTheme="minorHAnsi" w:hAnsiTheme="minorHAnsi" w:cstheme="minorHAnsi"/>
          <w:b/>
          <w:sz w:val="22"/>
          <w:szCs w:val="22"/>
        </w:rPr>
      </w:pPr>
      <w:r w:rsidRPr="00BE4553">
        <w:rPr>
          <w:rFonts w:asciiTheme="minorHAnsi" w:hAnsiTheme="minorHAnsi" w:cstheme="minorHAnsi"/>
          <w:b/>
          <w:sz w:val="22"/>
          <w:szCs w:val="22"/>
        </w:rPr>
        <w:t>Negativi</w:t>
      </w:r>
    </w:p>
    <w:p w:rsidR="00BE4553" w:rsidRPr="00BE4553" w:rsidRDefault="00BE4553" w:rsidP="00BE4553">
      <w:pPr>
        <w:rPr>
          <w:rFonts w:asciiTheme="minorHAnsi" w:hAnsiTheme="minorHAnsi" w:cstheme="minorHAnsi"/>
          <w:sz w:val="22"/>
          <w:szCs w:val="22"/>
        </w:rPr>
      </w:pPr>
      <w:r w:rsidRPr="00BE4553">
        <w:rPr>
          <w:rFonts w:asciiTheme="minorHAnsi" w:hAnsiTheme="minorHAnsi" w:cstheme="minorHAnsi"/>
          <w:sz w:val="22"/>
          <w:szCs w:val="22"/>
        </w:rPr>
        <w:t>• pur avendo fatto passi in avanti, ancora rigidità di fronte ai cambiamenti sociali e culturali del nostro tempo ( LGTB ecc), rigidità nei confronti di chi si è allontanato (divorzio ecc);</w:t>
      </w:r>
    </w:p>
    <w:p w:rsidR="00BE4553" w:rsidRPr="00BE4553" w:rsidRDefault="00BE4553" w:rsidP="00BE4553">
      <w:pPr>
        <w:rPr>
          <w:rFonts w:asciiTheme="minorHAnsi" w:hAnsiTheme="minorHAnsi" w:cstheme="minorHAnsi"/>
          <w:sz w:val="22"/>
          <w:szCs w:val="22"/>
        </w:rPr>
      </w:pPr>
      <w:r w:rsidRPr="00BE4553">
        <w:rPr>
          <w:rFonts w:asciiTheme="minorHAnsi" w:hAnsiTheme="minorHAnsi" w:cstheme="minorHAnsi"/>
          <w:sz w:val="22"/>
          <w:szCs w:val="22"/>
        </w:rPr>
        <w:t>• Poca trasparenza (soprattutto a livello centrale) nella gestione finanziaria, omertà nella gestione di situazioni di errori/scandali compiuti da suoi rappresentanti.</w:t>
      </w:r>
    </w:p>
    <w:p w:rsidR="00BE4553" w:rsidRPr="00BE4553" w:rsidRDefault="00BE4553" w:rsidP="00BE4553">
      <w:pPr>
        <w:rPr>
          <w:rFonts w:asciiTheme="minorHAnsi" w:hAnsiTheme="minorHAnsi" w:cstheme="minorHAnsi"/>
          <w:sz w:val="22"/>
          <w:szCs w:val="22"/>
        </w:rPr>
      </w:pPr>
      <w:r w:rsidRPr="00BE4553">
        <w:rPr>
          <w:rFonts w:asciiTheme="minorHAnsi" w:hAnsiTheme="minorHAnsi" w:cstheme="minorHAnsi"/>
          <w:sz w:val="22"/>
          <w:szCs w:val="22"/>
        </w:rPr>
        <w:t>• Il maschilismo della Chiesa è anacronistico, una chiusura non più accettabile. Altre posizioni anacronistiche e ormai incomprensibili: suore che non celebrano messa, sacerdoti che non si sposano</w:t>
      </w:r>
    </w:p>
    <w:p w:rsidR="00BE4553" w:rsidRPr="00BE4553" w:rsidRDefault="00BE4553" w:rsidP="00BE4553">
      <w:pPr>
        <w:rPr>
          <w:rFonts w:asciiTheme="minorHAnsi" w:hAnsiTheme="minorHAnsi" w:cstheme="minorHAnsi"/>
          <w:sz w:val="22"/>
          <w:szCs w:val="22"/>
        </w:rPr>
      </w:pPr>
    </w:p>
    <w:p w:rsidR="00BE4553" w:rsidRPr="00BE4553" w:rsidRDefault="00BE4553">
      <w:pPr>
        <w:rPr>
          <w:rFonts w:asciiTheme="minorHAnsi" w:hAnsiTheme="minorHAnsi" w:cstheme="minorHAnsi"/>
          <w:sz w:val="22"/>
          <w:szCs w:val="22"/>
        </w:rPr>
      </w:pPr>
    </w:p>
    <w:sectPr w:rsidR="00BE4553" w:rsidRPr="00BE4553" w:rsidSect="00BE4553">
      <w:pgSz w:w="11906" w:h="16838"/>
      <w:pgMar w:top="709"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917" w:rsidRDefault="00D23917" w:rsidP="00D23917">
      <w:pPr>
        <w:spacing w:after="0"/>
      </w:pPr>
      <w:r>
        <w:separator/>
      </w:r>
    </w:p>
  </w:endnote>
  <w:endnote w:type="continuationSeparator" w:id="0">
    <w:p w:rsidR="00D23917" w:rsidRDefault="00D23917" w:rsidP="00D2391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PMingLiU">
    <w:altName w:val="Arial Unicode MS"/>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Rockwell">
    <w:panose1 w:val="02060603020205020403"/>
    <w:charset w:val="00"/>
    <w:family w:val="roman"/>
    <w:pitch w:val="variable"/>
    <w:sig w:usb0="00000007"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917" w:rsidRDefault="00D23917" w:rsidP="00D23917">
      <w:pPr>
        <w:spacing w:after="0"/>
      </w:pPr>
      <w:r>
        <w:separator/>
      </w:r>
    </w:p>
  </w:footnote>
  <w:footnote w:type="continuationSeparator" w:id="0">
    <w:p w:rsidR="00D23917" w:rsidRDefault="00D23917" w:rsidP="00D23917">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3917"/>
    <w:rsid w:val="00275481"/>
    <w:rsid w:val="00460597"/>
    <w:rsid w:val="00AC6D58"/>
    <w:rsid w:val="00BE4553"/>
    <w:rsid w:val="00D23917"/>
    <w:rsid w:val="00DA44E9"/>
  </w:rsids>
  <m:mathPr>
    <m:mathFont m:val="Cambria Math"/>
    <m:brkBin m:val="before"/>
    <m:brkBinSub m:val="--"/>
    <m:smallFrac m:val="0"/>
    <m:dispDef/>
    <m:lMargin m:val="0"/>
    <m:rMargin m:val="0"/>
    <m:defJc m:val="centerGroup"/>
    <m:wrapIndent m:val="1440"/>
    <m:intLim m:val="subSup"/>
    <m:naryLim m:val="undOvr"/>
  </m:mathPr>
  <w:themeFontLang w:val="it-IT"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3FF4F"/>
  <w15:chartTrackingRefBased/>
  <w15:docId w15:val="{5465DFAA-5A1B-4359-B3A4-3FFAF4B234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zh-TW"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23917"/>
    <w:pPr>
      <w:spacing w:after="120" w:line="240" w:lineRule="auto"/>
    </w:pPr>
    <w:rPr>
      <w:rFonts w:ascii="Rockwell" w:eastAsia="Times New Roman" w:hAnsi="Rockwell" w:cs="Times New Roman"/>
      <w:color w:val="000000"/>
      <w:kern w:val="28"/>
      <w:sz w:val="18"/>
      <w:szCs w:val="18"/>
      <w14:ligatures w14:val="standard"/>
      <w14:cntxtAlt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E4553"/>
    <w:pPr>
      <w:tabs>
        <w:tab w:val="center" w:pos="4819"/>
        <w:tab w:val="right" w:pos="9638"/>
      </w:tabs>
      <w:spacing w:after="0"/>
    </w:pPr>
  </w:style>
  <w:style w:type="character" w:customStyle="1" w:styleId="IntestazioneCarattere">
    <w:name w:val="Intestazione Carattere"/>
    <w:basedOn w:val="Carpredefinitoparagrafo"/>
    <w:link w:val="Intestazione"/>
    <w:uiPriority w:val="99"/>
    <w:rsid w:val="00BE4553"/>
    <w:rPr>
      <w:rFonts w:ascii="Rockwell" w:eastAsia="Times New Roman" w:hAnsi="Rockwell" w:cs="Times New Roman"/>
      <w:color w:val="000000"/>
      <w:kern w:val="28"/>
      <w:sz w:val="18"/>
      <w:szCs w:val="18"/>
      <w14:ligatures w14:val="standard"/>
      <w14:cntxtAlts/>
    </w:rPr>
  </w:style>
  <w:style w:type="paragraph" w:styleId="Pidipagina">
    <w:name w:val="footer"/>
    <w:basedOn w:val="Normale"/>
    <w:link w:val="PidipaginaCarattere"/>
    <w:uiPriority w:val="99"/>
    <w:unhideWhenUsed/>
    <w:rsid w:val="00BE4553"/>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BE4553"/>
    <w:rPr>
      <w:rFonts w:ascii="Rockwell" w:eastAsia="Times New Roman" w:hAnsi="Rockwell" w:cs="Times New Roman"/>
      <w:color w:val="000000"/>
      <w:kern w:val="28"/>
      <w:sz w:val="18"/>
      <w:szCs w:val="18"/>
      <w14:ligatures w14:val="standard"/>
      <w14:cntxtAlt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5540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514</Words>
  <Characters>2935</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Barilla G. &amp; R. Fratelli</Company>
  <LinksUpToDate>false</LinksUpToDate>
  <CharactersWithSpaces>3443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Bardiani Italo</dc:creator>
  <cp:keywords/>
  <dc:description/>
  <cp:lastModifiedBy>Bardiani Italo</cp:lastModifiedBy>
  <cp:revision>2</cp:revision>
  <dcterms:created xsi:type="dcterms:W3CDTF">2022-04-11T09:35:00Z</dcterms:created>
  <dcterms:modified xsi:type="dcterms:W3CDTF">2022-04-11T09:35:00Z</dcterms:modified>
</cp:coreProperties>
</file>